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E9D00" w14:textId="77777777" w:rsidR="00D870E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Deep Multi-Modal Detection of Early Alzheimer’s Disease</w:t>
      </w:r>
    </w:p>
    <w:p w14:paraId="4ED9F75E" w14:textId="77777777" w:rsidR="00D870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Anika Suman, Soham </w:t>
      </w:r>
      <w:proofErr w:type="spellStart"/>
      <w:r>
        <w:rPr>
          <w:rFonts w:ascii="Times New Roman" w:eastAsia="Times New Roman" w:hAnsi="Times New Roman" w:cs="Times New Roman"/>
          <w:sz w:val="24"/>
          <w:szCs w:val="24"/>
        </w:rPr>
        <w:t>Jinsi</w:t>
      </w:r>
      <w:proofErr w:type="spellEnd"/>
      <w:r>
        <w:rPr>
          <w:rFonts w:ascii="Times New Roman" w:eastAsia="Times New Roman" w:hAnsi="Times New Roman" w:cs="Times New Roman"/>
          <w:sz w:val="24"/>
          <w:szCs w:val="24"/>
        </w:rPr>
        <w:t xml:space="preserve">, Kelly Shahu, </w:t>
      </w:r>
      <w:proofErr w:type="spellStart"/>
      <w:r>
        <w:rPr>
          <w:rFonts w:ascii="Times New Roman" w:eastAsia="Times New Roman" w:hAnsi="Times New Roman" w:cs="Times New Roman"/>
          <w:sz w:val="24"/>
          <w:szCs w:val="24"/>
        </w:rPr>
        <w:t>Xukun</w:t>
      </w:r>
      <w:proofErr w:type="spellEnd"/>
      <w:r>
        <w:rPr>
          <w:rFonts w:ascii="Times New Roman" w:eastAsia="Times New Roman" w:hAnsi="Times New Roman" w:cs="Times New Roman"/>
          <w:sz w:val="24"/>
          <w:szCs w:val="24"/>
        </w:rPr>
        <w:t xml:space="preserve"> Zhu</w:t>
      </w:r>
    </w:p>
    <w:p w14:paraId="1AF3C06B" w14:textId="77777777" w:rsidR="00D870EB" w:rsidRDefault="00D870EB">
      <w:pPr>
        <w:jc w:val="both"/>
        <w:rPr>
          <w:rFonts w:ascii="Times New Roman" w:eastAsia="Times New Roman" w:hAnsi="Times New Roman" w:cs="Times New Roman"/>
          <w:b/>
          <w:bCs/>
          <w:sz w:val="24"/>
          <w:szCs w:val="24"/>
        </w:rPr>
      </w:pPr>
    </w:p>
    <w:p w14:paraId="14299899" w14:textId="77777777" w:rsidR="00D870EB"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Background</w:t>
      </w:r>
    </w:p>
    <w:p w14:paraId="1ACFE340"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Alzheimer’s disease (AD) is a </w:t>
      </w:r>
      <w:r>
        <w:rPr>
          <w:rFonts w:ascii="Times New Roman" w:eastAsia="Times New Roman" w:hAnsi="Times New Roman" w:cs="Times New Roman"/>
          <w:b/>
          <w:bCs/>
          <w:sz w:val="24"/>
          <w:szCs w:val="24"/>
        </w:rPr>
        <w:t>heterogeneous neurodegenerative disorder</w:t>
      </w:r>
      <w:r>
        <w:rPr>
          <w:rFonts w:ascii="Times New Roman" w:eastAsia="Times New Roman" w:hAnsi="Times New Roman" w:cs="Times New Roman"/>
          <w:sz w:val="24"/>
          <w:szCs w:val="24"/>
        </w:rPr>
        <w:t xml:space="preserve"> characterized by diverse molecular and clinical presentations. While canonical biomarkers such as amyloid-β (Aβ) and tau provide key diagnostic insight, they do not fully capture the </w:t>
      </w:r>
      <w:r>
        <w:rPr>
          <w:rFonts w:ascii="Times New Roman" w:eastAsia="Times New Roman" w:hAnsi="Times New Roman" w:cs="Times New Roman"/>
          <w:b/>
          <w:bCs/>
          <w:sz w:val="24"/>
          <w:szCs w:val="24"/>
        </w:rPr>
        <w:t>biological variability</w:t>
      </w:r>
      <w:r>
        <w:rPr>
          <w:rFonts w:ascii="Times New Roman" w:eastAsia="Times New Roman" w:hAnsi="Times New Roman" w:cs="Times New Roman"/>
          <w:sz w:val="24"/>
          <w:szCs w:val="24"/>
        </w:rPr>
        <w:t xml:space="preserve"> underlying disease progression.</w:t>
      </w:r>
    </w:p>
    <w:p w14:paraId="344DD489" w14:textId="77777777" w:rsidR="00D870EB" w:rsidRDefault="00D870EB">
      <w:pPr>
        <w:jc w:val="both"/>
        <w:rPr>
          <w:rFonts w:ascii="Times New Roman" w:eastAsia="Times New Roman" w:hAnsi="Times New Roman" w:cs="Times New Roman"/>
          <w:sz w:val="24"/>
          <w:szCs w:val="24"/>
        </w:rPr>
      </w:pPr>
    </w:p>
    <w:p w14:paraId="28DF4DC8"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 advances in </w:t>
      </w:r>
      <w:r>
        <w:rPr>
          <w:rFonts w:ascii="Times New Roman" w:eastAsia="Times New Roman" w:hAnsi="Times New Roman" w:cs="Times New Roman"/>
          <w:b/>
          <w:bCs/>
          <w:sz w:val="24"/>
          <w:szCs w:val="24"/>
        </w:rPr>
        <w:t>high-dimensional proteomics</w:t>
      </w:r>
      <w:r>
        <w:rPr>
          <w:rFonts w:ascii="Times New Roman" w:eastAsia="Times New Roman" w:hAnsi="Times New Roman" w:cs="Times New Roman"/>
          <w:sz w:val="24"/>
          <w:szCs w:val="24"/>
        </w:rPr>
        <w:t xml:space="preserve"> enable the study of thousands of proteins simultaneously, offering a more comprehensive view of disease-related molecular processes.</w:t>
      </w:r>
    </w:p>
    <w:p w14:paraId="19B7CC79"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Electroencephalography (EEG)</w:t>
      </w:r>
      <w:r>
        <w:rPr>
          <w:rFonts w:ascii="Times New Roman" w:eastAsia="Times New Roman" w:hAnsi="Times New Roman" w:cs="Times New Roman"/>
          <w:sz w:val="24"/>
          <w:szCs w:val="24"/>
        </w:rPr>
        <w:t xml:space="preserve"> is a non-invasive and cost-effective method for measuring brain activity, with potential for early detection of Alzheimer’s disease. Changes in </w:t>
      </w:r>
      <w:r>
        <w:rPr>
          <w:rFonts w:ascii="Times New Roman" w:eastAsia="Times New Roman" w:hAnsi="Times New Roman" w:cs="Times New Roman"/>
          <w:b/>
          <w:bCs/>
          <w:sz w:val="24"/>
          <w:szCs w:val="24"/>
        </w:rPr>
        <w:t>neural oscillations</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functional connectivity</w:t>
      </w:r>
      <w:r>
        <w:rPr>
          <w:rFonts w:ascii="Times New Roman" w:eastAsia="Times New Roman" w:hAnsi="Times New Roman" w:cs="Times New Roman"/>
          <w:sz w:val="24"/>
          <w:szCs w:val="24"/>
        </w:rPr>
        <w:t xml:space="preserve"> motivate the use of EEG-derived features for classifying neurological conditions.</w:t>
      </w:r>
    </w:p>
    <w:p w14:paraId="3B2BF721" w14:textId="77777777" w:rsidR="00D870EB" w:rsidRDefault="00D870EB">
      <w:pPr>
        <w:jc w:val="both"/>
        <w:rPr>
          <w:rFonts w:ascii="Times New Roman" w:eastAsia="Times New Roman" w:hAnsi="Times New Roman" w:cs="Times New Roman"/>
          <w:sz w:val="24"/>
          <w:szCs w:val="24"/>
        </w:rPr>
      </w:pPr>
    </w:p>
    <w:p w14:paraId="20B4772B"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b/>
          <w:bCs/>
          <w:sz w:val="24"/>
          <w:szCs w:val="24"/>
        </w:rPr>
        <w:t>resting-state fMRI</w:t>
      </w:r>
      <w:r>
        <w:rPr>
          <w:rFonts w:ascii="Times New Roman" w:eastAsia="Times New Roman" w:hAnsi="Times New Roman" w:cs="Times New Roman"/>
          <w:sz w:val="24"/>
          <w:szCs w:val="24"/>
        </w:rPr>
        <w:t xml:space="preserve"> analysis, brain networks are represented as weighted graphs derived from functional connectivity. To </w:t>
      </w:r>
      <w:proofErr w:type="spellStart"/>
      <w:r>
        <w:rPr>
          <w:rFonts w:ascii="Times New Roman" w:eastAsia="Times New Roman" w:hAnsi="Times New Roman" w:cs="Times New Roman"/>
          <w:sz w:val="24"/>
          <w:szCs w:val="24"/>
        </w:rPr>
        <w:t>analyze</w:t>
      </w:r>
      <w:proofErr w:type="spellEnd"/>
      <w:r>
        <w:rPr>
          <w:rFonts w:ascii="Times New Roman" w:eastAsia="Times New Roman" w:hAnsi="Times New Roman" w:cs="Times New Roman"/>
          <w:sz w:val="24"/>
          <w:szCs w:val="24"/>
        </w:rPr>
        <w:t xml:space="preserve"> these structures, </w:t>
      </w:r>
      <w:r>
        <w:rPr>
          <w:rFonts w:ascii="Times New Roman" w:eastAsia="Times New Roman" w:hAnsi="Times New Roman" w:cs="Times New Roman"/>
          <w:b/>
          <w:bCs/>
          <w:sz w:val="24"/>
          <w:szCs w:val="24"/>
        </w:rPr>
        <w:t>persistent homology</w:t>
      </w:r>
      <w:r>
        <w:rPr>
          <w:rFonts w:ascii="Times New Roman" w:eastAsia="Times New Roman" w:hAnsi="Times New Roman" w:cs="Times New Roman"/>
          <w:sz w:val="24"/>
          <w:szCs w:val="24"/>
        </w:rPr>
        <w:t xml:space="preserve"> has emerged as a powerful framework, capturing multi-scale brain network organization through persistence diagrams and </w:t>
      </w:r>
      <w:r>
        <w:rPr>
          <w:rFonts w:ascii="Times New Roman" w:eastAsia="Times New Roman" w:hAnsi="Times New Roman" w:cs="Times New Roman"/>
          <w:b/>
          <w:bCs/>
          <w:sz w:val="24"/>
          <w:szCs w:val="24"/>
        </w:rPr>
        <w:t>Wasserstein distance</w:t>
      </w:r>
      <w:r>
        <w:rPr>
          <w:rFonts w:ascii="Times New Roman" w:eastAsia="Times New Roman" w:hAnsi="Times New Roman" w:cs="Times New Roman"/>
          <w:sz w:val="24"/>
          <w:szCs w:val="24"/>
        </w:rPr>
        <w:t xml:space="preserve"> metrics. Furthermore, </w:t>
      </w:r>
      <w:proofErr w:type="spellStart"/>
      <w:r>
        <w:rPr>
          <w:rFonts w:ascii="Times New Roman" w:eastAsia="Times New Roman" w:hAnsi="Times New Roman" w:cs="Times New Roman"/>
          <w:sz w:val="24"/>
          <w:szCs w:val="24"/>
        </w:rPr>
        <w:t>modeling</w:t>
      </w:r>
      <w:proofErr w:type="spellEnd"/>
      <w:r>
        <w:rPr>
          <w:rFonts w:ascii="Times New Roman" w:eastAsia="Times New Roman" w:hAnsi="Times New Roman" w:cs="Times New Roman"/>
          <w:sz w:val="24"/>
          <w:szCs w:val="24"/>
        </w:rPr>
        <w:t xml:space="preserve"> these features within a Markov progression framework allows for the characterization of stochastic transitions between disease states, providing a clear probabilistic timeline for clinical decline.</w:t>
      </w:r>
    </w:p>
    <w:p w14:paraId="464C7FB7" w14:textId="77777777" w:rsidR="00D870EB" w:rsidRDefault="00D870EB">
      <w:pPr>
        <w:jc w:val="both"/>
        <w:rPr>
          <w:rFonts w:ascii="Times New Roman" w:eastAsia="Times New Roman" w:hAnsi="Times New Roman" w:cs="Times New Roman"/>
          <w:sz w:val="24"/>
          <w:szCs w:val="24"/>
        </w:rPr>
      </w:pPr>
    </w:p>
    <w:p w14:paraId="7FCC7A2D" w14:textId="77777777" w:rsidR="00D870EB" w:rsidRDefault="00D870EB">
      <w:pPr>
        <w:jc w:val="both"/>
        <w:rPr>
          <w:rFonts w:ascii="Times New Roman" w:eastAsia="Times New Roman" w:hAnsi="Times New Roman" w:cs="Times New Roman"/>
          <w:sz w:val="24"/>
          <w:szCs w:val="24"/>
        </w:rPr>
      </w:pPr>
    </w:p>
    <w:p w14:paraId="6278035C" w14:textId="77777777" w:rsidR="00D870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78CD012" wp14:editId="50172A3D">
            <wp:extent cx="5295414" cy="3967163"/>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295414" cy="3967163"/>
                    </a:xfrm>
                    <a:prstGeom prst="rect">
                      <a:avLst/>
                    </a:prstGeom>
                    <a:ln/>
                  </pic:spPr>
                </pic:pic>
              </a:graphicData>
            </a:graphic>
          </wp:inline>
        </w:drawing>
      </w:r>
    </w:p>
    <w:p w14:paraId="3125D9BB"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Quantifying Brain Network Changes with Bayesian Inference</w:t>
      </w:r>
    </w:p>
    <w:p w14:paraId="141EB7B3"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research showed that using a </w:t>
      </w:r>
      <w:proofErr w:type="gramStart"/>
      <w:r>
        <w:rPr>
          <w:rFonts w:ascii="Times New Roman" w:eastAsia="Times New Roman" w:hAnsi="Times New Roman" w:cs="Times New Roman"/>
          <w:sz w:val="24"/>
          <w:szCs w:val="24"/>
        </w:rPr>
        <w:t>Bayesian inference framework addresses</w:t>
      </w:r>
      <w:proofErr w:type="gramEnd"/>
      <w:r>
        <w:rPr>
          <w:rFonts w:ascii="Times New Roman" w:eastAsia="Times New Roman" w:hAnsi="Times New Roman" w:cs="Times New Roman"/>
          <w:sz w:val="24"/>
          <w:szCs w:val="24"/>
        </w:rPr>
        <w:t xml:space="preserve"> some of the limitations of traditional statistical methods in detecting subtle brain network changes. This approach models functional brain networks as weighted graphs, using persistent graph homology to extract features and Markov Chain Monte Carlo sampling to generate complete posterior distributions. By computing Bayes Factors, the framework allows us to quantify the strength of evidence for group differences rather than relying on simple binary significance testing. When applied to Duke/UNC Alzheimer’s Disease Research </w:t>
      </w:r>
      <w:proofErr w:type="spellStart"/>
      <w:r>
        <w:rPr>
          <w:rFonts w:ascii="Times New Roman" w:eastAsia="Times New Roman" w:hAnsi="Times New Roman" w:cs="Times New Roman"/>
          <w:sz w:val="24"/>
          <w:szCs w:val="24"/>
        </w:rPr>
        <w:t>Center</w:t>
      </w:r>
      <w:proofErr w:type="spellEnd"/>
      <w:r>
        <w:rPr>
          <w:rFonts w:ascii="Times New Roman" w:eastAsia="Times New Roman" w:hAnsi="Times New Roman" w:cs="Times New Roman"/>
          <w:sz w:val="24"/>
          <w:szCs w:val="24"/>
        </w:rPr>
        <w:t xml:space="preserve"> fMRI data, our model successfully provided decisive evidence of early-stage amyloid-related network alterations that conventional permutation tests completely missed. Furthermore, the posterior distributions confirmed that tau pathology induces substantially larger network disruptions than amyloid accumulation, aligning with established neuroscience regarding Alzheimer's disease progression.</w:t>
      </w:r>
    </w:p>
    <w:p w14:paraId="7979FC8E" w14:textId="77777777" w:rsidR="00D870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3BC4EFD" wp14:editId="0A2EF7CF">
            <wp:extent cx="3333750" cy="390525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333750" cy="3905250"/>
                    </a:xfrm>
                    <a:prstGeom prst="rect">
                      <a:avLst/>
                    </a:prstGeom>
                    <a:ln/>
                  </pic:spPr>
                </pic:pic>
              </a:graphicData>
            </a:graphic>
          </wp:inline>
        </w:drawing>
      </w:r>
    </w:p>
    <w:p w14:paraId="57DACC12" w14:textId="77777777" w:rsidR="00D870EB" w:rsidRDefault="00D870EB">
      <w:pPr>
        <w:jc w:val="both"/>
        <w:rPr>
          <w:rFonts w:ascii="Times New Roman" w:eastAsia="Times New Roman" w:hAnsi="Times New Roman" w:cs="Times New Roman"/>
          <w:b/>
          <w:bCs/>
          <w:sz w:val="24"/>
          <w:szCs w:val="24"/>
        </w:rPr>
      </w:pPr>
    </w:p>
    <w:p w14:paraId="7FD3AB5F" w14:textId="77777777" w:rsidR="00D870EB" w:rsidRDefault="00D870EB">
      <w:pPr>
        <w:jc w:val="both"/>
        <w:rPr>
          <w:rFonts w:ascii="Times New Roman" w:eastAsia="Times New Roman" w:hAnsi="Times New Roman" w:cs="Times New Roman"/>
          <w:b/>
          <w:bCs/>
          <w:sz w:val="24"/>
          <w:szCs w:val="24"/>
        </w:rPr>
      </w:pPr>
    </w:p>
    <w:p w14:paraId="76625DBC" w14:textId="77777777" w:rsidR="00D870EB" w:rsidRDefault="00D870EB">
      <w:pPr>
        <w:jc w:val="both"/>
        <w:rPr>
          <w:rFonts w:ascii="Times New Roman" w:eastAsia="Times New Roman" w:hAnsi="Times New Roman" w:cs="Times New Roman"/>
          <w:b/>
          <w:bCs/>
          <w:sz w:val="24"/>
          <w:szCs w:val="24"/>
        </w:rPr>
      </w:pPr>
    </w:p>
    <w:p w14:paraId="36B2E9D0" w14:textId="77777777" w:rsidR="00D870EB" w:rsidRDefault="00D870EB">
      <w:pPr>
        <w:jc w:val="both"/>
        <w:rPr>
          <w:rFonts w:ascii="Times New Roman" w:eastAsia="Times New Roman" w:hAnsi="Times New Roman" w:cs="Times New Roman"/>
          <w:b/>
          <w:bCs/>
          <w:sz w:val="24"/>
          <w:szCs w:val="24"/>
        </w:rPr>
      </w:pPr>
    </w:p>
    <w:p w14:paraId="08C0956D" w14:textId="77777777" w:rsidR="00D870EB" w:rsidRDefault="00D870EB">
      <w:pPr>
        <w:jc w:val="both"/>
        <w:rPr>
          <w:rFonts w:ascii="Times New Roman" w:eastAsia="Times New Roman" w:hAnsi="Times New Roman" w:cs="Times New Roman"/>
          <w:b/>
          <w:bCs/>
          <w:sz w:val="24"/>
          <w:szCs w:val="24"/>
        </w:rPr>
      </w:pPr>
    </w:p>
    <w:p w14:paraId="5F31274D" w14:textId="77777777" w:rsidR="00D870EB" w:rsidRDefault="00D870EB">
      <w:pPr>
        <w:jc w:val="both"/>
        <w:rPr>
          <w:rFonts w:ascii="Times New Roman" w:eastAsia="Times New Roman" w:hAnsi="Times New Roman" w:cs="Times New Roman"/>
          <w:b/>
          <w:bCs/>
          <w:sz w:val="24"/>
          <w:szCs w:val="24"/>
        </w:rPr>
      </w:pPr>
    </w:p>
    <w:p w14:paraId="7BBD915B" w14:textId="77777777" w:rsidR="00D870EB" w:rsidRDefault="00D870EB">
      <w:pPr>
        <w:jc w:val="both"/>
        <w:rPr>
          <w:rFonts w:ascii="Times New Roman" w:eastAsia="Times New Roman" w:hAnsi="Times New Roman" w:cs="Times New Roman"/>
          <w:b/>
          <w:bCs/>
          <w:sz w:val="24"/>
          <w:szCs w:val="24"/>
        </w:rPr>
      </w:pPr>
    </w:p>
    <w:p w14:paraId="327E4ED7" w14:textId="77777777" w:rsidR="00D870EB" w:rsidRDefault="00D870EB">
      <w:pPr>
        <w:jc w:val="both"/>
        <w:rPr>
          <w:rFonts w:ascii="Times New Roman" w:eastAsia="Times New Roman" w:hAnsi="Times New Roman" w:cs="Times New Roman"/>
          <w:b/>
          <w:bCs/>
          <w:sz w:val="24"/>
          <w:szCs w:val="24"/>
        </w:rPr>
      </w:pPr>
    </w:p>
    <w:p w14:paraId="32A34E78" w14:textId="77777777" w:rsidR="00D870EB" w:rsidRDefault="00D870EB">
      <w:pPr>
        <w:jc w:val="both"/>
        <w:rPr>
          <w:rFonts w:ascii="Times New Roman" w:eastAsia="Times New Roman" w:hAnsi="Times New Roman" w:cs="Times New Roman"/>
          <w:b/>
          <w:bCs/>
          <w:sz w:val="24"/>
          <w:szCs w:val="24"/>
        </w:rPr>
      </w:pPr>
    </w:p>
    <w:p w14:paraId="3E062C8F" w14:textId="77777777" w:rsidR="00D870EB" w:rsidRDefault="00D870EB">
      <w:pPr>
        <w:jc w:val="both"/>
        <w:rPr>
          <w:rFonts w:ascii="Times New Roman" w:eastAsia="Times New Roman" w:hAnsi="Times New Roman" w:cs="Times New Roman"/>
          <w:b/>
          <w:bCs/>
          <w:sz w:val="24"/>
          <w:szCs w:val="24"/>
        </w:rPr>
      </w:pPr>
    </w:p>
    <w:p w14:paraId="0DE8310F" w14:textId="77777777" w:rsidR="00D870EB" w:rsidRDefault="00D870EB">
      <w:pPr>
        <w:jc w:val="both"/>
        <w:rPr>
          <w:rFonts w:ascii="Times New Roman" w:eastAsia="Times New Roman" w:hAnsi="Times New Roman" w:cs="Times New Roman"/>
          <w:b/>
          <w:bCs/>
          <w:sz w:val="24"/>
          <w:szCs w:val="24"/>
        </w:rPr>
      </w:pPr>
    </w:p>
    <w:p w14:paraId="1FAECE63" w14:textId="77777777" w:rsidR="00D870EB"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Persistent Homology on Proteomic Data</w:t>
      </w:r>
    </w:p>
    <w:p w14:paraId="10307FD0" w14:textId="77777777" w:rsidR="00D870EB" w:rsidRDefault="00D870EB">
      <w:pPr>
        <w:jc w:val="both"/>
        <w:rPr>
          <w:rFonts w:ascii="Times New Roman" w:eastAsia="Times New Roman" w:hAnsi="Times New Roman" w:cs="Times New Roman"/>
          <w:b/>
          <w:bCs/>
          <w:sz w:val="24"/>
          <w:szCs w:val="24"/>
        </w:rPr>
      </w:pPr>
    </w:p>
    <w:p w14:paraId="2FA40BDB" w14:textId="77777777" w:rsidR="00D870EB" w:rsidRDefault="00000000">
      <w:pPr>
        <w:spacing w:after="160" w:line="523"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Data used in the preparation of this article were obtained from the Alzheimer’s Disease Neuroimaging Initiative (ADNI) database (adni.loni.usc.edu). The ADNI was launched in 2003 as a public-private partnership, led by Principal Investigator Michael W. Weiner, MD. The primary goal of ADNI has been to test whether serial magnetic resonance imaging (MRI), positron emission tomography (PET), other biological markers, and clinical and neuropsychological assessment can be combined to measure the progression of mild cognitive impairment (MCI) and early Alzheimer’s disease (AD). For up-to-date information, see </w:t>
      </w:r>
      <w:hyperlink r:id="rId8">
        <w:r>
          <w:rPr>
            <w:rFonts w:ascii="Times New Roman" w:eastAsia="Times New Roman" w:hAnsi="Times New Roman" w:cs="Times New Roman"/>
            <w:i/>
            <w:iCs/>
            <w:color w:val="800080"/>
            <w:sz w:val="24"/>
            <w:szCs w:val="24"/>
            <w:u w:val="single"/>
          </w:rPr>
          <w:t>www.adni-info.org</w:t>
        </w:r>
      </w:hyperlink>
      <w:r>
        <w:rPr>
          <w:rFonts w:ascii="Times New Roman" w:eastAsia="Times New Roman" w:hAnsi="Times New Roman" w:cs="Times New Roman"/>
          <w:i/>
          <w:iCs/>
          <w:sz w:val="24"/>
          <w:szCs w:val="24"/>
        </w:rPr>
        <w:t xml:space="preserve">.  </w:t>
      </w:r>
    </w:p>
    <w:p w14:paraId="43679A5D" w14:textId="77777777" w:rsidR="00D870EB"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 homology is a method from topological data analysis that helps us understand the shape and structure of complex data without making strong assumptions. It works by identifying stable patterns (like clusters or loops) that persist across different scales, which makes it especially useful for detecting meaningful structure in noisy biological data.</w:t>
      </w:r>
    </w:p>
    <w:p w14:paraId="7899B866" w14:textId="77777777" w:rsidR="00D870EB"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our analysis, we used persistent homology on proteomic data to uncover the intrinsic organization of Alzheimer’s disease. We found strong evidence for two dominant subtypes, which appear as stable connected components across the filtration.</w:t>
      </w:r>
    </w:p>
    <w:p w14:paraId="3C44205C" w14:textId="77777777" w:rsidR="00D870EB"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Importantly, when we looked more closely at one of these subtypes, we identified three additional sub-subtypes, suggesting a more hierarchical structure rather than a simple flat classification. This indicates that Alzheimer’s disease may have layered heterogeneity, with finer-grained variation within major groups.</w:t>
      </w:r>
    </w:p>
    <w:p w14:paraId="1C9A3447" w14:textId="77777777" w:rsidR="00D870EB"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subtypes were primarily distinguished by differences in canonical Alzheimer’s disease biomarkers and related molecular profiles. One subtype showed higher total tau and phosphorylated tau levels, together with increased APOE ε4 carrier frequency, consistent with a more tau-associated disease profile. The second subtype exhibited lower tau pathology and a comparatively milder molecular pattern. Within the dominant subtype, the identified sub-subtypes further separated individuals into groups with low, intermediate, and high </w:t>
      </w:r>
      <w:proofErr w:type="spellStart"/>
      <w:r>
        <w:rPr>
          <w:rFonts w:ascii="Times New Roman" w:eastAsia="Times New Roman" w:hAnsi="Times New Roman" w:cs="Times New Roman"/>
          <w:sz w:val="24"/>
          <w:szCs w:val="24"/>
        </w:rPr>
        <w:t>tau</w:t>
      </w:r>
      <w:proofErr w:type="spellEnd"/>
      <w:r>
        <w:rPr>
          <w:rFonts w:ascii="Times New Roman" w:eastAsia="Times New Roman" w:hAnsi="Times New Roman" w:cs="Times New Roman"/>
          <w:sz w:val="24"/>
          <w:szCs w:val="24"/>
        </w:rPr>
        <w:t xml:space="preserve"> burden. </w:t>
      </w:r>
    </w:p>
    <w:p w14:paraId="62D44CE0" w14:textId="77777777" w:rsidR="00D870EB"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6E58702" wp14:editId="6E792427">
            <wp:extent cx="2338388" cy="2773436"/>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338388" cy="277343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86CD07F" wp14:editId="41877A5E">
            <wp:extent cx="2890838" cy="2757002"/>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890838" cy="2757002"/>
                    </a:xfrm>
                    <a:prstGeom prst="rect">
                      <a:avLst/>
                    </a:prstGeom>
                    <a:ln/>
                  </pic:spPr>
                </pic:pic>
              </a:graphicData>
            </a:graphic>
          </wp:inline>
        </w:drawing>
      </w:r>
    </w:p>
    <w:p w14:paraId="0596195A" w14:textId="77777777" w:rsidR="00D870EB" w:rsidRDefault="00000000">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2 Multi-scale Vietoris–Rips filtration visualizations of proteomic similarity structure across discovery cohort.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Top left: Vietoris–Rips filtration of the full discovery cohort at the PH-selected threshold (ε = 0.0335), illustrating the emergence of two dominant connected components (H_0), consistent with the primary subtype separation. Top right: Filtration restricted to the largest subtype, revealing three sub-subtypes at a finer scale (ε = 0.0209), corresponding to internal H₀ splits within the dominant cluster. In all panels, nodes represent patients, edges indicate pairwise similarity below ε, and filled triangles denote higher-order simplices (2-simplices), highlighting local geometric connectivity. The persistence of these structures across </w:t>
      </w:r>
      <w:proofErr w:type="gramStart"/>
      <w:r>
        <w:rPr>
          <w:rFonts w:ascii="Times New Roman" w:eastAsia="Times New Roman" w:hAnsi="Times New Roman" w:cs="Times New Roman"/>
          <w:sz w:val="24"/>
          <w:szCs w:val="24"/>
        </w:rPr>
        <w:t>scales  supports</w:t>
      </w:r>
      <w:proofErr w:type="gramEnd"/>
      <w:r>
        <w:rPr>
          <w:rFonts w:ascii="Times New Roman" w:eastAsia="Times New Roman" w:hAnsi="Times New Roman" w:cs="Times New Roman"/>
          <w:sz w:val="24"/>
          <w:szCs w:val="24"/>
        </w:rPr>
        <w:t xml:space="preserve"> a hierarchical organization of Alzheimer’s disease heterogeneity.</w:t>
      </w:r>
    </w:p>
    <w:p w14:paraId="6A573B5A" w14:textId="77777777" w:rsidR="00D870EB" w:rsidRDefault="00D870EB">
      <w:pPr>
        <w:spacing w:before="240" w:after="240"/>
        <w:jc w:val="both"/>
        <w:rPr>
          <w:rFonts w:ascii="Times New Roman" w:eastAsia="Times New Roman" w:hAnsi="Times New Roman" w:cs="Times New Roman"/>
          <w:sz w:val="24"/>
          <w:szCs w:val="24"/>
        </w:rPr>
      </w:pPr>
    </w:p>
    <w:p w14:paraId="2F8CEB99" w14:textId="77777777" w:rsidR="00D870EB" w:rsidRDefault="00D870EB">
      <w:pPr>
        <w:spacing w:before="240" w:after="240"/>
        <w:jc w:val="both"/>
        <w:rPr>
          <w:rFonts w:ascii="Times New Roman" w:eastAsia="Times New Roman" w:hAnsi="Times New Roman" w:cs="Times New Roman"/>
          <w:sz w:val="24"/>
          <w:szCs w:val="24"/>
        </w:rPr>
      </w:pPr>
    </w:p>
    <w:p w14:paraId="4C3728BE" w14:textId="77777777" w:rsidR="00D870EB"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Markov Progression and Autoregressive </w:t>
      </w:r>
      <w:proofErr w:type="spellStart"/>
      <w:r>
        <w:rPr>
          <w:rFonts w:ascii="Times New Roman" w:eastAsia="Times New Roman" w:hAnsi="Times New Roman" w:cs="Times New Roman"/>
          <w:b/>
          <w:bCs/>
          <w:sz w:val="24"/>
          <w:szCs w:val="24"/>
        </w:rPr>
        <w:t>Modeling</w:t>
      </w:r>
      <w:proofErr w:type="spellEnd"/>
      <w:r>
        <w:rPr>
          <w:rFonts w:ascii="Times New Roman" w:eastAsia="Times New Roman" w:hAnsi="Times New Roman" w:cs="Times New Roman"/>
          <w:b/>
          <w:bCs/>
          <w:sz w:val="24"/>
          <w:szCs w:val="24"/>
        </w:rPr>
        <w:t xml:space="preserve"> for Disease Evolution</w:t>
      </w:r>
    </w:p>
    <w:p w14:paraId="7B22EAE5"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now look at </w:t>
      </w:r>
      <w:proofErr w:type="spellStart"/>
      <w:r>
        <w:rPr>
          <w:rFonts w:ascii="Times New Roman" w:eastAsia="Times New Roman" w:hAnsi="Times New Roman" w:cs="Times New Roman"/>
          <w:sz w:val="24"/>
          <w:szCs w:val="24"/>
        </w:rPr>
        <w:t>modeling</w:t>
      </w:r>
      <w:proofErr w:type="spellEnd"/>
      <w:r>
        <w:rPr>
          <w:rFonts w:ascii="Times New Roman" w:eastAsia="Times New Roman" w:hAnsi="Times New Roman" w:cs="Times New Roman"/>
          <w:sz w:val="24"/>
          <w:szCs w:val="24"/>
        </w:rPr>
        <w:t xml:space="preserve"> Alzheimer’s progression through a Markov framework. In a pure Markov model, the next state depends only on the current state, and not on any previous states. In disease progression, however, this is often not true, as time spent in a state plays a role in progression. We therefore </w:t>
      </w:r>
      <w:proofErr w:type="spellStart"/>
      <w:r>
        <w:rPr>
          <w:rFonts w:ascii="Times New Roman" w:eastAsia="Times New Roman" w:hAnsi="Times New Roman" w:cs="Times New Roman"/>
          <w:sz w:val="24"/>
          <w:szCs w:val="24"/>
        </w:rPr>
        <w:t>modeled</w:t>
      </w:r>
      <w:proofErr w:type="spellEnd"/>
      <w:r>
        <w:rPr>
          <w:rFonts w:ascii="Times New Roman" w:eastAsia="Times New Roman" w:hAnsi="Times New Roman" w:cs="Times New Roman"/>
          <w:sz w:val="24"/>
          <w:szCs w:val="24"/>
        </w:rPr>
        <w:t xml:space="preserve"> Alzheimer’s progression using a semi-Markov framework, </w:t>
      </w:r>
      <w:proofErr w:type="gramStart"/>
      <w:r>
        <w:rPr>
          <w:rFonts w:ascii="Times New Roman" w:eastAsia="Times New Roman" w:hAnsi="Times New Roman" w:cs="Times New Roman"/>
          <w:sz w:val="24"/>
          <w:szCs w:val="24"/>
        </w:rPr>
        <w:t>taking into account</w:t>
      </w:r>
      <w:proofErr w:type="gramEnd"/>
      <w:r>
        <w:rPr>
          <w:rFonts w:ascii="Times New Roman" w:eastAsia="Times New Roman" w:hAnsi="Times New Roman" w:cs="Times New Roman"/>
          <w:sz w:val="24"/>
          <w:szCs w:val="24"/>
        </w:rPr>
        <w:t xml:space="preserve"> the current state and time spent in the state.</w:t>
      </w:r>
    </w:p>
    <w:p w14:paraId="059A4649" w14:textId="77777777" w:rsidR="00D870EB" w:rsidRDefault="00D870EB">
      <w:pPr>
        <w:jc w:val="both"/>
        <w:rPr>
          <w:rFonts w:ascii="Times New Roman" w:eastAsia="Times New Roman" w:hAnsi="Times New Roman" w:cs="Times New Roman"/>
          <w:sz w:val="24"/>
          <w:szCs w:val="24"/>
        </w:rPr>
      </w:pPr>
    </w:p>
    <w:p w14:paraId="0A871200"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we aim to predict disease worsening through an autoregressive model. The NACC UDS dataset is heavily imbalanced when it comes to progression, as patients stay in the same state between visits over 90% of the time. We therefore used a class-weighted autoregressive model, modifying the loss function to penalize rare class progression more heavily. The degree 2 autoregressive model conditions on the current state, previous state, and gap between visits. We used a train-test split to select a threshold of .675 that was the disease progression boundary, chosen by maximizing the F1 score on the training set. Next steps include adding more NACC </w:t>
      </w:r>
      <w:r>
        <w:rPr>
          <w:rFonts w:ascii="Times New Roman" w:eastAsia="Times New Roman" w:hAnsi="Times New Roman" w:cs="Times New Roman"/>
          <w:sz w:val="24"/>
          <w:szCs w:val="24"/>
        </w:rPr>
        <w:lastRenderedPageBreak/>
        <w:t>variables with significant predictive ability, such as sex and age, to better model the relationship.</w:t>
      </w:r>
    </w:p>
    <w:p w14:paraId="7ACA354E" w14:textId="77777777" w:rsidR="00D870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56E4703" wp14:editId="72A6EFEA">
            <wp:extent cx="5731200" cy="38989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731200" cy="3898900"/>
                    </a:xfrm>
                    <a:prstGeom prst="rect">
                      <a:avLst/>
                    </a:prstGeom>
                    <a:ln/>
                  </pic:spPr>
                </pic:pic>
              </a:graphicData>
            </a:graphic>
          </wp:inline>
        </w:drawing>
      </w:r>
    </w:p>
    <w:p w14:paraId="3A6BF117" w14:textId="77777777" w:rsidR="00D870EB" w:rsidRDefault="00D870EB">
      <w:pPr>
        <w:jc w:val="both"/>
        <w:rPr>
          <w:rFonts w:ascii="Times New Roman" w:eastAsia="Times New Roman" w:hAnsi="Times New Roman" w:cs="Times New Roman"/>
          <w:b/>
          <w:bCs/>
          <w:sz w:val="24"/>
          <w:szCs w:val="24"/>
        </w:rPr>
      </w:pPr>
    </w:p>
    <w:p w14:paraId="5A0CCDA7"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EEG Brain Activity</w:t>
      </w:r>
    </w:p>
    <w:p w14:paraId="383A78C1" w14:textId="77777777" w:rsidR="00D870EB"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extended our multi-modal framework to electroencephalography (EEG), a non-invasive modality that captures brain activity with high temporal resolution. Unlike structural or molecular data, EEG reflects real-time neural dynamics, making it well-suited for identifying functional disruptions associated with neurological disease.</w:t>
      </w:r>
    </w:p>
    <w:p w14:paraId="36374BF8" w14:textId="77777777" w:rsidR="00D870EB"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our analysis, we extract spectral </w:t>
      </w:r>
      <w:proofErr w:type="spellStart"/>
      <w:r>
        <w:rPr>
          <w:rFonts w:ascii="Times New Roman" w:eastAsia="Times New Roman" w:hAnsi="Times New Roman" w:cs="Times New Roman"/>
          <w:sz w:val="24"/>
          <w:szCs w:val="24"/>
        </w:rPr>
        <w:t>bandpower</w:t>
      </w:r>
      <w:proofErr w:type="spellEnd"/>
      <w:r>
        <w:rPr>
          <w:rFonts w:ascii="Times New Roman" w:eastAsia="Times New Roman" w:hAnsi="Times New Roman" w:cs="Times New Roman"/>
          <w:sz w:val="24"/>
          <w:szCs w:val="24"/>
        </w:rPr>
        <w:t xml:space="preserve"> and functional connectivity features to characterize differences in brain activity across Alzheimer’s disease (AD), Frontotemporal Dementia (FTD), and control groups. These features are then used as input to classification models, allowing us to evaluate the extent to which EEG-derived signals can distinguish between clinical populations.</w:t>
      </w:r>
    </w:p>
    <w:p w14:paraId="026A4A5B" w14:textId="77777777" w:rsidR="00D870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94EDC32" wp14:editId="31622B21">
            <wp:extent cx="2681288" cy="2002146"/>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81288" cy="200214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1E1D56F9" wp14:editId="669E5AF5">
            <wp:extent cx="2706723" cy="2025941"/>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r="1440"/>
                    <a:stretch>
                      <a:fillRect/>
                    </a:stretch>
                  </pic:blipFill>
                  <pic:spPr>
                    <a:xfrm>
                      <a:off x="0" y="0"/>
                      <a:ext cx="2706723" cy="2025941"/>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6414544D" wp14:editId="7AF2EC01">
            <wp:extent cx="5156363" cy="2347161"/>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r="831" b="1734"/>
                    <a:stretch>
                      <a:fillRect/>
                    </a:stretch>
                  </pic:blipFill>
                  <pic:spPr>
                    <a:xfrm>
                      <a:off x="0" y="0"/>
                      <a:ext cx="5156363" cy="2347161"/>
                    </a:xfrm>
                    <a:prstGeom prst="rect">
                      <a:avLst/>
                    </a:prstGeom>
                    <a:ln/>
                  </pic:spPr>
                </pic:pic>
              </a:graphicData>
            </a:graphic>
          </wp:inline>
        </w:drawing>
      </w:r>
    </w:p>
    <w:p w14:paraId="42B32FB1" w14:textId="77777777" w:rsidR="00D870EB" w:rsidRDefault="00D870EB">
      <w:pPr>
        <w:jc w:val="both"/>
        <w:rPr>
          <w:rFonts w:ascii="Times New Roman" w:eastAsia="Times New Roman" w:hAnsi="Times New Roman" w:cs="Times New Roman"/>
          <w:sz w:val="24"/>
          <w:szCs w:val="24"/>
        </w:rPr>
      </w:pPr>
    </w:p>
    <w:p w14:paraId="6F3980B4"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Alpha &amp; Theta power distribution, we see some visually distinct features between AD, FTD, and CN diagnoses. From the EEG Average Functional Connectivity analysis, we see that there are strong positive correlations across channels, similar structure across groups, and that the differences are subtle. Next steps would be to extract more informative features such as </w:t>
      </w:r>
      <w:proofErr w:type="spellStart"/>
      <w:r>
        <w:rPr>
          <w:rFonts w:ascii="Times New Roman" w:eastAsia="Times New Roman" w:hAnsi="Times New Roman" w:cs="Times New Roman"/>
          <w:sz w:val="24"/>
          <w:szCs w:val="24"/>
        </w:rPr>
        <w:t>bandpower</w:t>
      </w:r>
      <w:proofErr w:type="spellEnd"/>
      <w:r>
        <w:rPr>
          <w:rFonts w:ascii="Times New Roman" w:eastAsia="Times New Roman" w:hAnsi="Times New Roman" w:cs="Times New Roman"/>
          <w:sz w:val="24"/>
          <w:szCs w:val="24"/>
        </w:rPr>
        <w:t xml:space="preserve"> ratios (e.g., theta/alpha), time-frequency representations like STFT or wavelets, and advanced connectivity measures like coherence, along with using larger datasets and more refined graph-based approaches, which may help improve classification performance.</w:t>
      </w:r>
    </w:p>
    <w:p w14:paraId="0C0B5D59"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454E0FE" wp14:editId="57484936">
            <wp:extent cx="5731200" cy="4292600"/>
            <wp:effectExtent l="0" t="0" r="0" b="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5731200" cy="4292600"/>
                    </a:xfrm>
                    <a:prstGeom prst="rect">
                      <a:avLst/>
                    </a:prstGeom>
                    <a:ln/>
                  </pic:spPr>
                </pic:pic>
              </a:graphicData>
            </a:graphic>
          </wp:inline>
        </w:drawing>
      </w:r>
    </w:p>
    <w:p w14:paraId="2B08DECC" w14:textId="77777777" w:rsidR="00D870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Our Team Members presenting at the Bass Showcase</w:t>
      </w:r>
    </w:p>
    <w:p w14:paraId="0E580C2F" w14:textId="77777777" w:rsidR="00D870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to Right: Anika Suman, Kelly Shahu, Soham </w:t>
      </w:r>
      <w:proofErr w:type="spellStart"/>
      <w:r>
        <w:rPr>
          <w:rFonts w:ascii="Times New Roman" w:eastAsia="Times New Roman" w:hAnsi="Times New Roman" w:cs="Times New Roman"/>
          <w:sz w:val="24"/>
          <w:szCs w:val="24"/>
        </w:rPr>
        <w:t>Jinsi</w:t>
      </w:r>
      <w:proofErr w:type="spellEnd"/>
    </w:p>
    <w:p w14:paraId="62D812E8" w14:textId="77777777" w:rsidR="00D870EB" w:rsidRDefault="00D870EB">
      <w:pPr>
        <w:jc w:val="both"/>
        <w:rPr>
          <w:rFonts w:ascii="Times New Roman" w:eastAsia="Times New Roman" w:hAnsi="Times New Roman" w:cs="Times New Roman"/>
          <w:sz w:val="24"/>
          <w:szCs w:val="24"/>
        </w:rPr>
      </w:pPr>
    </w:p>
    <w:p w14:paraId="165A3217"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Conclusion and Learning</w:t>
      </w:r>
    </w:p>
    <w:p w14:paraId="1D404DBC"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Alzheimer’s is a deeply complex disorder requiring a multi-modal approach to capture early-stage network changes. By combining neuroinformatics with topological data analysis, we learned how molecular pathology translates into functional brain disruptions often missed by traditional methods. Navigating and interpreting real-world data from NACC, including the difficulty in </w:t>
      </w:r>
      <w:proofErr w:type="spellStart"/>
      <w:r>
        <w:rPr>
          <w:rFonts w:ascii="Times New Roman" w:eastAsia="Times New Roman" w:hAnsi="Times New Roman" w:cs="Times New Roman"/>
          <w:sz w:val="24"/>
          <w:szCs w:val="24"/>
        </w:rPr>
        <w:t>modeling</w:t>
      </w:r>
      <w:proofErr w:type="spellEnd"/>
      <w:r>
        <w:rPr>
          <w:rFonts w:ascii="Times New Roman" w:eastAsia="Times New Roman" w:hAnsi="Times New Roman" w:cs="Times New Roman"/>
          <w:sz w:val="24"/>
          <w:szCs w:val="24"/>
        </w:rPr>
        <w:t xml:space="preserve"> rare events, taught us the value of methodological flexibility in research. Furthermore, EEG functional connectivity and proteomic subtyping allowed us to see how these changes manifest in neural signatures. This collaborative effort spanned neuroscience, statistics, and computer science, teaching us the importance of a diverse team in uncovering insights from research.</w:t>
      </w:r>
    </w:p>
    <w:p w14:paraId="46F2F3AC" w14:textId="77777777" w:rsidR="00D870EB" w:rsidRDefault="00D870EB">
      <w:pPr>
        <w:jc w:val="both"/>
        <w:rPr>
          <w:rFonts w:ascii="Times New Roman" w:eastAsia="Times New Roman" w:hAnsi="Times New Roman" w:cs="Times New Roman"/>
          <w:sz w:val="24"/>
          <w:szCs w:val="24"/>
        </w:rPr>
      </w:pPr>
    </w:p>
    <w:p w14:paraId="717AE72C" w14:textId="77777777" w:rsidR="00D870EB" w:rsidRDefault="00D870EB">
      <w:pPr>
        <w:jc w:val="both"/>
        <w:rPr>
          <w:rFonts w:ascii="Times New Roman" w:eastAsia="Times New Roman" w:hAnsi="Times New Roman" w:cs="Times New Roman"/>
          <w:sz w:val="24"/>
          <w:szCs w:val="24"/>
        </w:rPr>
      </w:pPr>
    </w:p>
    <w:p w14:paraId="13036D16" w14:textId="77777777" w:rsidR="00D870EB" w:rsidRDefault="00D870EB">
      <w:pPr>
        <w:jc w:val="both"/>
        <w:rPr>
          <w:rFonts w:ascii="Times New Roman" w:eastAsia="Times New Roman" w:hAnsi="Times New Roman" w:cs="Times New Roman"/>
          <w:sz w:val="24"/>
          <w:szCs w:val="24"/>
        </w:rPr>
      </w:pPr>
    </w:p>
    <w:p w14:paraId="057CA044" w14:textId="77777777" w:rsidR="00D870EB" w:rsidRDefault="00D870EB">
      <w:pPr>
        <w:jc w:val="both"/>
        <w:rPr>
          <w:rFonts w:ascii="Times New Roman" w:eastAsia="Times New Roman" w:hAnsi="Times New Roman" w:cs="Times New Roman"/>
          <w:sz w:val="24"/>
          <w:szCs w:val="24"/>
        </w:rPr>
      </w:pPr>
    </w:p>
    <w:p w14:paraId="191CF7D2" w14:textId="77777777" w:rsidR="00D870EB" w:rsidRDefault="00D870EB">
      <w:pPr>
        <w:jc w:val="both"/>
        <w:rPr>
          <w:rFonts w:ascii="Times New Roman" w:eastAsia="Times New Roman" w:hAnsi="Times New Roman" w:cs="Times New Roman"/>
          <w:sz w:val="24"/>
          <w:szCs w:val="24"/>
        </w:rPr>
      </w:pPr>
    </w:p>
    <w:p w14:paraId="075BDFBA" w14:textId="77777777" w:rsidR="00D870EB" w:rsidRDefault="00D870EB">
      <w:pPr>
        <w:jc w:val="both"/>
        <w:rPr>
          <w:rFonts w:ascii="Times New Roman" w:eastAsia="Times New Roman" w:hAnsi="Times New Roman" w:cs="Times New Roman"/>
          <w:sz w:val="24"/>
          <w:szCs w:val="24"/>
        </w:rPr>
      </w:pPr>
    </w:p>
    <w:p w14:paraId="6AA28B08" w14:textId="77777777" w:rsidR="00D870EB" w:rsidRDefault="00D870EB">
      <w:pPr>
        <w:jc w:val="both"/>
        <w:rPr>
          <w:rFonts w:ascii="Times New Roman" w:eastAsia="Times New Roman" w:hAnsi="Times New Roman" w:cs="Times New Roman"/>
          <w:sz w:val="24"/>
          <w:szCs w:val="24"/>
        </w:rPr>
      </w:pPr>
    </w:p>
    <w:p w14:paraId="78BC8F0A" w14:textId="77777777" w:rsidR="00D870EB" w:rsidRDefault="00D870EB">
      <w:pPr>
        <w:jc w:val="both"/>
        <w:rPr>
          <w:rFonts w:ascii="Times New Roman" w:eastAsia="Times New Roman" w:hAnsi="Times New Roman" w:cs="Times New Roman"/>
          <w:sz w:val="24"/>
          <w:szCs w:val="24"/>
        </w:rPr>
      </w:pPr>
    </w:p>
    <w:p w14:paraId="74C86A5E" w14:textId="77777777" w:rsidR="00D870EB" w:rsidRDefault="00D870EB">
      <w:pPr>
        <w:jc w:val="both"/>
        <w:rPr>
          <w:rFonts w:ascii="Times New Roman" w:eastAsia="Times New Roman" w:hAnsi="Times New Roman" w:cs="Times New Roman"/>
          <w:sz w:val="24"/>
          <w:szCs w:val="24"/>
        </w:rPr>
      </w:pPr>
    </w:p>
    <w:p w14:paraId="47A57C2D" w14:textId="77777777" w:rsidR="00D870EB"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References and Acknowledgement:</w:t>
      </w:r>
    </w:p>
    <w:p w14:paraId="3299B712" w14:textId="77777777" w:rsidR="00D870EB" w:rsidRDefault="00D870EB">
      <w:pPr>
        <w:jc w:val="both"/>
        <w:rPr>
          <w:rFonts w:ascii="Times New Roman" w:eastAsia="Times New Roman" w:hAnsi="Times New Roman" w:cs="Times New Roman"/>
          <w:b/>
          <w:bCs/>
          <w:sz w:val="24"/>
          <w:szCs w:val="24"/>
        </w:rPr>
      </w:pPr>
    </w:p>
    <w:p w14:paraId="4E10F685" w14:textId="77777777" w:rsidR="00D870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reported in this publication was supported by the Duke/UNC Alzheimer’s Disease Research </w:t>
      </w:r>
      <w:proofErr w:type="spellStart"/>
      <w:r>
        <w:rPr>
          <w:rFonts w:ascii="Times New Roman" w:eastAsia="Times New Roman" w:hAnsi="Times New Roman" w:cs="Times New Roman"/>
          <w:sz w:val="24"/>
          <w:szCs w:val="24"/>
        </w:rPr>
        <w:t>Center</w:t>
      </w:r>
      <w:proofErr w:type="spellEnd"/>
      <w:r>
        <w:rPr>
          <w:rFonts w:ascii="Times New Roman" w:eastAsia="Times New Roman" w:hAnsi="Times New Roman" w:cs="Times New Roman"/>
          <w:sz w:val="24"/>
          <w:szCs w:val="24"/>
        </w:rPr>
        <w:t xml:space="preserve"> of the National Institute on Aging of the National Institutes of Health under Award Number P30AG072958. The content is solely the responsibility of the authors and does not necessarily represent the official views of the National Institutes of Health.</w:t>
      </w:r>
    </w:p>
    <w:p w14:paraId="7BCE2301" w14:textId="77777777" w:rsidR="00D870EB" w:rsidRDefault="00D870EB">
      <w:pPr>
        <w:jc w:val="both"/>
        <w:rPr>
          <w:rFonts w:ascii="Times New Roman" w:eastAsia="Times New Roman" w:hAnsi="Times New Roman" w:cs="Times New Roman"/>
          <w:sz w:val="24"/>
          <w:szCs w:val="24"/>
        </w:rPr>
      </w:pPr>
    </w:p>
    <w:p w14:paraId="2E21E3A3" w14:textId="77777777" w:rsidR="00D870EB" w:rsidRDefault="00000000">
      <w:pPr>
        <w:spacing w:before="240" w:after="240" w:line="240" w:lineRule="auto"/>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b/>
          <w:bCs/>
          <w:sz w:val="24"/>
          <w:szCs w:val="24"/>
        </w:rPr>
        <w:t>Alzheimer’s Disease Neuroimaging Initiative (ADNI).</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ADNI Data Repository.</w:t>
      </w:r>
      <w:r>
        <w:rPr>
          <w:rFonts w:ascii="Times New Roman" w:eastAsia="Times New Roman" w:hAnsi="Times New Roman" w:cs="Times New Roman"/>
          <w:sz w:val="24"/>
          <w:szCs w:val="24"/>
        </w:rPr>
        <w:t xml:space="preserve"> Available at: </w:t>
      </w:r>
      <w:hyperlink r:id="rId16">
        <w:r>
          <w:rPr>
            <w:rFonts w:ascii="Times New Roman" w:eastAsia="Times New Roman" w:hAnsi="Times New Roman" w:cs="Times New Roman"/>
            <w:color w:val="1155CC"/>
            <w:sz w:val="24"/>
            <w:szCs w:val="24"/>
            <w:u w:val="single"/>
          </w:rPr>
          <w:t>https://adni.loni.usc.edu</w:t>
        </w:r>
      </w:hyperlink>
    </w:p>
    <w:p w14:paraId="6526AADF" w14:textId="77777777" w:rsidR="00D870EB" w:rsidRDefault="00000000">
      <w:pPr>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The NACC database is funded by NIA/NIH Grant U24 AG072122. NACC data are contributed by the NIA-funded ADRCs: P30 AG062429 (PI James Brewer, MD, PhD), P30 AG066468 (PI Oscar Lopez, MD), P30 AG062421 (PI Teresa Gomez-Isla, MD), P30 AG066509 (PI Thomas Grabowski, MD), P30 AG066514 (PI Mary Sano, PhD), P30 AG066530 (PI Helena Chui, MD, Arthur Toga, PhD), P30 AG066507 (PI Marilyn Albert, PhD), P30 AG066444 (PI David Holtzman, MD), P30 AG066518 (PIs Lisa Silbert, MD, Kevin Duff, PhD), P30 AG066512 (PI Thomas Wisniewski, MD), P30 AG066462 (PI Scott Small, MD), P30 AG072979 (PI David Wolk, MD), P30 AG072972 (PIs Charles DeCarli, MD, Rachel Whitmer, PhD), P30 AG072976 (PI Andrew </w:t>
      </w:r>
      <w:proofErr w:type="spellStart"/>
      <w:r>
        <w:rPr>
          <w:rFonts w:ascii="Times New Roman" w:eastAsia="Times New Roman" w:hAnsi="Times New Roman" w:cs="Times New Roman"/>
          <w:sz w:val="24"/>
          <w:szCs w:val="24"/>
        </w:rPr>
        <w:t>Saykin</w:t>
      </w:r>
      <w:proofErr w:type="spellEnd"/>
      <w:r>
        <w:rPr>
          <w:rFonts w:ascii="Times New Roman" w:eastAsia="Times New Roman" w:hAnsi="Times New Roman" w:cs="Times New Roman"/>
          <w:sz w:val="24"/>
          <w:szCs w:val="24"/>
        </w:rPr>
        <w:t xml:space="preserve">, PsyD), P30 AG072975 (PI Julie Schneider, MD, MS), P30 AG072978 (PI Ann McKee, MD), P30 AG072977 (PI Robert Vassar, PhD), P30 AG066519 (PI Joshua Grill, PhD), P30 AG062677 (PIs Brad Boeve, MD, Ronald Petersen, MD, PhD), P30 AG079280 (PI Jessica </w:t>
      </w:r>
      <w:proofErr w:type="spellStart"/>
      <w:r>
        <w:rPr>
          <w:rFonts w:ascii="Times New Roman" w:eastAsia="Times New Roman" w:hAnsi="Times New Roman" w:cs="Times New Roman"/>
          <w:sz w:val="24"/>
          <w:szCs w:val="24"/>
        </w:rPr>
        <w:t>Langbaum</w:t>
      </w:r>
      <w:proofErr w:type="spellEnd"/>
      <w:r>
        <w:rPr>
          <w:rFonts w:ascii="Times New Roman" w:eastAsia="Times New Roman" w:hAnsi="Times New Roman" w:cs="Times New Roman"/>
          <w:sz w:val="24"/>
          <w:szCs w:val="24"/>
        </w:rPr>
        <w:t xml:space="preserve">, PhD), P30 AG062422 (PI Gil </w:t>
      </w:r>
      <w:proofErr w:type="spellStart"/>
      <w:r>
        <w:rPr>
          <w:rFonts w:ascii="Times New Roman" w:eastAsia="Times New Roman" w:hAnsi="Times New Roman" w:cs="Times New Roman"/>
          <w:sz w:val="24"/>
          <w:szCs w:val="24"/>
        </w:rPr>
        <w:t>Rabinovici</w:t>
      </w:r>
      <w:proofErr w:type="spellEnd"/>
      <w:r>
        <w:rPr>
          <w:rFonts w:ascii="Times New Roman" w:eastAsia="Times New Roman" w:hAnsi="Times New Roman" w:cs="Times New Roman"/>
          <w:sz w:val="24"/>
          <w:szCs w:val="24"/>
        </w:rPr>
        <w:t xml:space="preserve">, MD), P30 AG066511 (PI Allan Levey, MD, PhD), P30 AG072946 (PI Linda Van </w:t>
      </w:r>
      <w:proofErr w:type="spellStart"/>
      <w:r>
        <w:rPr>
          <w:rFonts w:ascii="Times New Roman" w:eastAsia="Times New Roman" w:hAnsi="Times New Roman" w:cs="Times New Roman"/>
          <w:sz w:val="24"/>
          <w:szCs w:val="24"/>
        </w:rPr>
        <w:t>Eldik</w:t>
      </w:r>
      <w:proofErr w:type="spellEnd"/>
      <w:r>
        <w:rPr>
          <w:rFonts w:ascii="Times New Roman" w:eastAsia="Times New Roman" w:hAnsi="Times New Roman" w:cs="Times New Roman"/>
          <w:sz w:val="24"/>
          <w:szCs w:val="24"/>
        </w:rPr>
        <w:t xml:space="preserve">, PhD), P30 AG062715 (PI Sanjay Asthana, MD, FRCP), P30 AG072973 (PI Russell Swerdlow, MD), P30 AG066506 (PIs Glenn Smith, PhD, ABPP, David Lowenstein, PhD, Ranjan </w:t>
      </w:r>
      <w:proofErr w:type="spellStart"/>
      <w:r>
        <w:rPr>
          <w:rFonts w:ascii="Times New Roman" w:eastAsia="Times New Roman" w:hAnsi="Times New Roman" w:cs="Times New Roman"/>
          <w:sz w:val="24"/>
          <w:szCs w:val="24"/>
        </w:rPr>
        <w:t>Duara</w:t>
      </w:r>
      <w:proofErr w:type="spellEnd"/>
      <w:r>
        <w:rPr>
          <w:rFonts w:ascii="Times New Roman" w:eastAsia="Times New Roman" w:hAnsi="Times New Roman" w:cs="Times New Roman"/>
          <w:sz w:val="24"/>
          <w:szCs w:val="24"/>
        </w:rPr>
        <w:t xml:space="preserve">, MD), P30 AG066508 (PIs Stephen Strittmatter, MD, PhD, Christopher Van Dyck, MD), P30 AG066515 (PI Victor Henderson, MD, MS), P30 AG072947 (PI Suzanne Craft, PhD), P30 AG072931 (PI Henry Paulson, MD, PhD), P30 AG066546 (PIs Sudha Seshadri, MD, Gladys Maestre, MD, PhD), P30 AG086401 (PI Erik Roberson, MD, PhD), P30 AG086404 (PI Gary Rosenberg, MD), P30 AG086403 (PI Angela Jefferson, PhD), P30 AG072958 (PIs Heather Whitson, MD, Gwenn Garden, MD, PhD), P30 AG072959 (PI Jagan Pillai, MD, PhD), P30 AG092752 (Ihab Hajjar, MD, MS). </w:t>
      </w:r>
    </w:p>
    <w:p w14:paraId="177611DE" w14:textId="77777777" w:rsidR="00D870EB" w:rsidRDefault="00D870EB">
      <w:pPr>
        <w:jc w:val="both"/>
        <w:rPr>
          <w:rFonts w:ascii="Times New Roman" w:eastAsia="Times New Roman" w:hAnsi="Times New Roman" w:cs="Times New Roman"/>
          <w:b/>
          <w:bCs/>
          <w:sz w:val="24"/>
          <w:szCs w:val="24"/>
        </w:rPr>
      </w:pPr>
    </w:p>
    <w:p w14:paraId="279837DC" w14:textId="77777777" w:rsidR="00D870EB" w:rsidRDefault="00D870EB">
      <w:pPr>
        <w:jc w:val="both"/>
        <w:rPr>
          <w:rFonts w:ascii="Times New Roman" w:eastAsia="Times New Roman" w:hAnsi="Times New Roman" w:cs="Times New Roman"/>
          <w:sz w:val="24"/>
          <w:szCs w:val="24"/>
        </w:rPr>
      </w:pPr>
    </w:p>
    <w:p w14:paraId="15A3ADF8" w14:textId="77777777" w:rsidR="00D870EB" w:rsidRDefault="00000000">
      <w:pPr>
        <w:jc w:val="both"/>
        <w:rPr>
          <w:rFonts w:ascii="Times New Roman" w:eastAsia="Times New Roman" w:hAnsi="Times New Roman" w:cs="Times New Roman"/>
          <w:color w:val="FFFFFF"/>
          <w:sz w:val="24"/>
          <w:szCs w:val="24"/>
        </w:rPr>
      </w:pPr>
      <w:proofErr w:type="spellStart"/>
      <w:r>
        <w:rPr>
          <w:rFonts w:ascii="Times New Roman" w:eastAsia="Times New Roman" w:hAnsi="Times New Roman" w:cs="Times New Roman"/>
          <w:sz w:val="24"/>
          <w:szCs w:val="24"/>
        </w:rPr>
        <w:t>Miltiadous</w:t>
      </w:r>
      <w:proofErr w:type="spellEnd"/>
      <w:r>
        <w:rPr>
          <w:rFonts w:ascii="Times New Roman" w:eastAsia="Times New Roman" w:hAnsi="Times New Roman" w:cs="Times New Roman"/>
          <w:sz w:val="24"/>
          <w:szCs w:val="24"/>
        </w:rPr>
        <w:t xml:space="preserve">, Andreas, et al. </w:t>
      </w:r>
      <w:r>
        <w:rPr>
          <w:rFonts w:ascii="Times New Roman" w:eastAsia="Times New Roman" w:hAnsi="Times New Roman" w:cs="Times New Roman"/>
          <w:i/>
          <w:iCs/>
          <w:sz w:val="24"/>
          <w:szCs w:val="24"/>
        </w:rPr>
        <w:t>A Dataset of EEG Recordings from: Alzheimer’s Disease, Frontotemporal Dementia and Healthy Subjects</w:t>
      </w:r>
      <w:r>
        <w:rPr>
          <w:rFonts w:ascii="Times New Roman" w:eastAsia="Times New Roman" w:hAnsi="Times New Roman" w:cs="Times New Roman"/>
          <w:sz w:val="24"/>
          <w:szCs w:val="24"/>
        </w:rPr>
        <w:t xml:space="preserve">. Version 1.0.8, </w:t>
      </w:r>
      <w:proofErr w:type="spellStart"/>
      <w:r>
        <w:rPr>
          <w:rFonts w:ascii="Times New Roman" w:eastAsia="Times New Roman" w:hAnsi="Times New Roman" w:cs="Times New Roman"/>
          <w:sz w:val="24"/>
          <w:szCs w:val="24"/>
        </w:rPr>
        <w:t>OpenNeuro</w:t>
      </w:r>
      <w:proofErr w:type="spellEnd"/>
      <w:r>
        <w:rPr>
          <w:rFonts w:ascii="Times New Roman" w:eastAsia="Times New Roman" w:hAnsi="Times New Roman" w:cs="Times New Roman"/>
          <w:sz w:val="24"/>
          <w:szCs w:val="24"/>
        </w:rPr>
        <w:t xml:space="preserve">, 2023, </w:t>
      </w:r>
      <w:hyperlink r:id="rId17">
        <w:r>
          <w:rPr>
            <w:rFonts w:ascii="Times New Roman" w:eastAsia="Times New Roman" w:hAnsi="Times New Roman" w:cs="Times New Roman"/>
            <w:color w:val="1155CC"/>
            <w:sz w:val="24"/>
            <w:szCs w:val="24"/>
            <w:u w:val="single"/>
          </w:rPr>
          <w:t>https://doi.org/10.18112/openneuro.ds004504.v1.0.8</w:t>
        </w:r>
      </w:hyperlink>
      <w:r>
        <w:rPr>
          <w:rFonts w:ascii="Times New Roman" w:eastAsia="Times New Roman" w:hAnsi="Times New Roman" w:cs="Times New Roman"/>
          <w:color w:val="FFFFFF"/>
          <w:sz w:val="24"/>
          <w:szCs w:val="24"/>
        </w:rPr>
        <w:t xml:space="preserve">. </w:t>
      </w:r>
    </w:p>
    <w:p w14:paraId="4355BBAA" w14:textId="77777777" w:rsidR="00D870EB" w:rsidRDefault="00D870EB">
      <w:pPr>
        <w:jc w:val="both"/>
        <w:rPr>
          <w:rFonts w:ascii="Times New Roman" w:eastAsia="Times New Roman" w:hAnsi="Times New Roman" w:cs="Times New Roman"/>
          <w:color w:val="FFFFFF"/>
          <w:sz w:val="24"/>
          <w:szCs w:val="24"/>
        </w:rPr>
      </w:pPr>
    </w:p>
    <w:p w14:paraId="4B0D47EB" w14:textId="77777777" w:rsidR="00D870EB" w:rsidRDefault="00D870EB">
      <w:pPr>
        <w:jc w:val="both"/>
        <w:rPr>
          <w:rFonts w:ascii="Times New Roman" w:eastAsia="Times New Roman" w:hAnsi="Times New Roman" w:cs="Times New Roman"/>
          <w:color w:val="FFFFFF"/>
          <w:sz w:val="24"/>
          <w:szCs w:val="24"/>
        </w:rPr>
      </w:pPr>
    </w:p>
    <w:sectPr w:rsidR="00D870EB">
      <w:head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1381B" w14:textId="77777777" w:rsidR="00372A20" w:rsidRDefault="00372A20">
      <w:pPr>
        <w:spacing w:line="240" w:lineRule="auto"/>
      </w:pPr>
      <w:r>
        <w:separator/>
      </w:r>
    </w:p>
  </w:endnote>
  <w:endnote w:type="continuationSeparator" w:id="0">
    <w:p w14:paraId="2A48E247" w14:textId="77777777" w:rsidR="00372A20" w:rsidRDefault="00372A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29A1E1-AF08-42A6-979C-F191C1117873}"/>
  </w:font>
  <w:font w:name="Cambria">
    <w:panose1 w:val="02040503050406030204"/>
    <w:charset w:val="00"/>
    <w:family w:val="roman"/>
    <w:pitch w:val="variable"/>
    <w:sig w:usb0="E00006FF" w:usb1="420024FF" w:usb2="02000000" w:usb3="00000000" w:csb0="0000019F" w:csb1="00000000"/>
    <w:embedRegular r:id="rId2" w:fontKey="{DAEFC700-D443-4A23-B8A7-10E8510200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90488" w14:textId="77777777" w:rsidR="00372A20" w:rsidRDefault="00372A20">
      <w:pPr>
        <w:spacing w:line="240" w:lineRule="auto"/>
      </w:pPr>
      <w:r>
        <w:separator/>
      </w:r>
    </w:p>
  </w:footnote>
  <w:footnote w:type="continuationSeparator" w:id="0">
    <w:p w14:paraId="261284B1" w14:textId="77777777" w:rsidR="00372A20" w:rsidRDefault="00372A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31733" w14:textId="77777777" w:rsidR="00D870EB" w:rsidRDefault="00D870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0EB"/>
    <w:rsid w:val="00372A20"/>
    <w:rsid w:val="00620AE2"/>
    <w:rsid w:val="00BB167A"/>
    <w:rsid w:val="00D87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A8D2E"/>
  <w15:docId w15:val="{A18F7356-39B7-4A22-AD81-5E6A9478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adni-info.org/" TargetMode="External"/><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doi.org/10.18112/openneuro.ds004504.v1.0.8" TargetMode="External"/><Relationship Id="rId2" Type="http://schemas.openxmlformats.org/officeDocument/2006/relationships/settings" Target="settings.xml"/><Relationship Id="rId16" Type="http://schemas.openxmlformats.org/officeDocument/2006/relationships/hyperlink" Target="https://adni.loni.usc.ed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jp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1747</Words>
  <Characters>9963</Characters>
  <Application>Microsoft Office Word</Application>
  <DocSecurity>0</DocSecurity>
  <Lines>83</Lines>
  <Paragraphs>23</Paragraphs>
  <ScaleCrop>false</ScaleCrop>
  <Company>Duke University</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Harrison</dc:creator>
  <cp:lastModifiedBy>Kelly Harrison</cp:lastModifiedBy>
  <cp:revision>2</cp:revision>
  <dcterms:created xsi:type="dcterms:W3CDTF">2026-07-09T17:55:00Z</dcterms:created>
  <dcterms:modified xsi:type="dcterms:W3CDTF">2026-07-09T17:55:00Z</dcterms:modified>
</cp:coreProperties>
</file>